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4946"/>
        <w:gridCol w:w="1925"/>
        <w:gridCol w:w="149"/>
        <w:gridCol w:w="90"/>
        <w:gridCol w:w="181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7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520DE" w:rsidRPr="00EC1099" w:rsidRDefault="009520DE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63432C" w:rsidRDefault="009520DE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520D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Novi (mešoviti) proizvodi tržišta osiguranja – odgovor na izazove 21.veka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520DE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2031C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14513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520D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.30 – 14.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9520DE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09.</w:t>
            </w:r>
            <w:r w:rsidR="005A1CC8"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3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3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3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3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Šta su mešoviti proizvodi osiguranja – “Hibridi”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Pojam hibrida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su hibridi ograničeni na životna ili obuhvataju i neživotna osiguranja?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Karakteristike regulatornog okvira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srpski regulatorni okvir podsticajan za razvoj hibridnih proizvoda?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Značaj postojanja kompozitnih društava u Srbiji za razvoj hibridnih proizvoda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ugovorno zakodavstvo prati savremene tendencije?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Inostrana iskustva kao role model za Srbiju 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Hibrodni proizvodi osiguranja u oblasti osiguranja lica – mešoviti proizvodi tržišta osiguranja lica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Osiguranje od posledica nezgode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Dobrovoljno zdravstveno osiguranje 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Investiciono životno osiguranje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Osiguranje od posledica nezgode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Smrt kao osigurani rizik i isplata sume osiguranja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Invaliditet kao osigurani rizik i isplata sume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Prolazna nesposobnost za rad i isplata dnevnih naknada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Troškovi lečenja 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Dobrovoljno zdravstveno osiguranje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Bolest kao osigurani rizik i isplata troškova lečenja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 Prolazna nesposobnost i isplata dnevnih naknada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Troškovi lečenja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Investiciono životno osiguranje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7.1.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Pojam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Pogodnosti za osiguranike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Rizičnost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Strategija za srpsko pravo 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Hibridni proizvodi tržišta osiguranja imovine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7.1.Osiguranje na ugovorenu vrednost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7.2.Osiguranje na novu vrednost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Praksa na tržištu osiguranja i preporuke za umanjenje rizika u vezi sa hibridnim vrstama osiguranja</w:t>
            </w:r>
          </w:p>
          <w:p w:rsidR="009520DE" w:rsidRPr="009520DE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Tendencije na srpskom i tržištu Evropske unije</w:t>
            </w:r>
          </w:p>
          <w:p w:rsidR="005A1CC8" w:rsidRPr="0085179C" w:rsidRDefault="009520DE" w:rsidP="009520DE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9520DE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 xml:space="preserve">Zaključak i diskusija  </w:t>
            </w:r>
          </w:p>
        </w:tc>
        <w:tc>
          <w:tcPr>
            <w:tcW w:w="327" w:type="dxa"/>
            <w:gridSpan w:val="3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9520DE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</w:t>
            </w:r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.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9520D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Petrović-Tomić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3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3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031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520D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031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9520DE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="009520DE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011 4149 496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="009520DE" w:rsidRPr="009520DE">
                    <w:rPr>
                      <w:rFonts w:ascii="Calibri" w:hAnsi="Calibri" w:cs="Calibri"/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  <w:hyperlink r:id="rId10" w:history="1">
                    <w:r w:rsidR="009520DE">
                      <w:rPr>
                        <w:rStyle w:val="Hyperlink"/>
                        <w:rFonts w:ascii="Calibri" w:hAnsi="Calibri" w:cs="Calibri"/>
                        <w:color w:val="FFFFFF" w:themeColor="background1"/>
                        <w:sz w:val="22"/>
                        <w:szCs w:val="22"/>
                      </w:rPr>
                      <w:t>n</w:t>
                    </w:r>
                    <w:bookmarkStart w:id="0" w:name="_GoBack"/>
                    <w:bookmarkEnd w:id="0"/>
                    <w:r w:rsidR="009520DE" w:rsidRPr="009520DE">
                      <w:rPr>
                        <w:rStyle w:val="Hyperlink"/>
                        <w:rFonts w:ascii="Calibri" w:hAnsi="Calibri" w:cs="Calibri"/>
                        <w:color w:val="FFFFFF" w:themeColor="background1"/>
                        <w:sz w:val="22"/>
                        <w:szCs w:val="22"/>
                      </w:rPr>
                      <w:t>ikola.kosutic@pks.rs</w:t>
                    </w:r>
                  </w:hyperlink>
                  <w:r w:rsidR="009520DE" w:rsidRPr="009520DE">
                    <w:rPr>
                      <w:rFonts w:ascii="Calibri" w:hAnsi="Calibri" w:cs="Calibri"/>
                      <w:color w:val="FFFFFF" w:themeColor="background1"/>
                      <w:sz w:val="22"/>
                      <w:szCs w:val="22"/>
                    </w:rPr>
                    <w:t xml:space="preserve"> /</w:t>
                  </w:r>
                  <w:r w:rsidRPr="009520DE">
                    <w:rPr>
                      <w:rFonts w:ascii="Calibri" w:hAnsi="Calibri" w:cs="Calibri"/>
                      <w:color w:val="FFFFFF" w:themeColor="background1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097" w:rsidRDefault="00881097">
      <w:r>
        <w:separator/>
      </w:r>
    </w:p>
  </w:endnote>
  <w:endnote w:type="continuationSeparator" w:id="0">
    <w:p w:rsidR="00881097" w:rsidRDefault="0088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097" w:rsidRDefault="00881097">
      <w:r>
        <w:separator/>
      </w:r>
    </w:p>
  </w:footnote>
  <w:footnote w:type="continuationSeparator" w:id="0">
    <w:p w:rsidR="00881097" w:rsidRDefault="00881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1C3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1097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20DE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58B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B6064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kacija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ikola.kosut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CBCD7-E0F4-407C-A83B-4DC2E298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2015-12-22T11:13:00Z</cp:lastPrinted>
  <dcterms:created xsi:type="dcterms:W3CDTF">2022-03-16T12:46:00Z</dcterms:created>
  <dcterms:modified xsi:type="dcterms:W3CDTF">2022-03-16T12:46:00Z</dcterms:modified>
</cp:coreProperties>
</file>